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6B0C" w:rsidRPr="00CF6B0C" w:rsidRDefault="00377612" w:rsidP="00CF6B0C">
      <w:pPr>
        <w:pStyle w:val="wiczenie"/>
        <w:spacing w:line="360" w:lineRule="auto"/>
        <w:rPr>
          <w:rFonts w:ascii="Arial Narrow" w:hAnsi="Arial Narrow"/>
          <w:sz w:val="28"/>
          <w:szCs w:val="28"/>
        </w:rPr>
      </w:pPr>
      <w:r w:rsidRPr="00CF6B0C">
        <w:rPr>
          <w:rFonts w:ascii="Arial Narrow" w:hAnsi="Arial Narrow"/>
          <w:sz w:val="28"/>
          <w:szCs w:val="28"/>
        </w:rPr>
        <w:t xml:space="preserve">Ćwiczenie </w:t>
      </w:r>
      <w:r w:rsidR="00F856FC">
        <w:rPr>
          <w:rFonts w:ascii="Arial Narrow" w:hAnsi="Arial Narrow"/>
          <w:sz w:val="28"/>
          <w:szCs w:val="28"/>
        </w:rPr>
        <w:t>1</w:t>
      </w:r>
    </w:p>
    <w:p w:rsidR="007B06C1" w:rsidRPr="007B06C1" w:rsidRDefault="00F856FC" w:rsidP="007B06C1">
      <w:pPr>
        <w:pStyle w:val="Tytu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Oznaczanie </w:t>
      </w:r>
      <w:r w:rsidR="005F49FD">
        <w:rPr>
          <w:rFonts w:ascii="Arial Narrow" w:hAnsi="Arial Narrow"/>
        </w:rPr>
        <w:t>pierwiastków w żywności ciekłej</w:t>
      </w:r>
      <w:r>
        <w:rPr>
          <w:rFonts w:ascii="Arial Narrow" w:hAnsi="Arial Narrow"/>
        </w:rPr>
        <w:t xml:space="preserve"> techniką FAAS. Walidacja procedury analitycznej oraz oszacowanie niepewności pomiarowej.</w:t>
      </w:r>
    </w:p>
    <w:p w:rsidR="007B06C1" w:rsidRPr="00C5083E" w:rsidRDefault="007B06C1" w:rsidP="007B06C1">
      <w:pPr>
        <w:pStyle w:val="rdtytu"/>
        <w:rPr>
          <w:rFonts w:ascii="Arial Narrow" w:hAnsi="Arial Narrow"/>
          <w:sz w:val="28"/>
          <w:szCs w:val="28"/>
        </w:rPr>
      </w:pPr>
      <w:r w:rsidRPr="00C5083E">
        <w:rPr>
          <w:rFonts w:ascii="Arial Narrow" w:hAnsi="Arial Narrow"/>
          <w:sz w:val="28"/>
          <w:szCs w:val="28"/>
        </w:rPr>
        <w:t>Walidacja procedury pomiarowej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9D35D8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9D35D8">
        <w:rPr>
          <w:rFonts w:ascii="Times New Roman" w:hAnsi="Times New Roman"/>
          <w:b/>
          <w:color w:val="548DD4"/>
          <w:sz w:val="28"/>
          <w:szCs w:val="28"/>
          <w:u w:val="single"/>
        </w:rPr>
        <w:t>Krzywa kalibracyjna</w:t>
      </w:r>
    </w:p>
    <w:p w:rsidR="007B06C1" w:rsidRPr="00DC3C82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wykreślenia krzywej kalibracyjnej należy wykorzystać</w:t>
      </w:r>
      <w:r w:rsidRPr="004E289F">
        <w:rPr>
          <w:rFonts w:ascii="Times New Roman" w:hAnsi="Times New Roman"/>
          <w:sz w:val="24"/>
          <w:szCs w:val="24"/>
        </w:rPr>
        <w:t xml:space="preserve"> wyniki absorbancji</w:t>
      </w:r>
      <w:r>
        <w:rPr>
          <w:rFonts w:ascii="Times New Roman" w:hAnsi="Times New Roman"/>
          <w:sz w:val="24"/>
          <w:szCs w:val="24"/>
        </w:rPr>
        <w:t xml:space="preserve"> uzyskane</w:t>
      </w:r>
      <w:r w:rsidRPr="004E289F">
        <w:rPr>
          <w:rFonts w:ascii="Times New Roman" w:hAnsi="Times New Roman"/>
          <w:sz w:val="24"/>
          <w:szCs w:val="24"/>
        </w:rPr>
        <w:t xml:space="preserve"> dla poszczególnych roztworów wzorcowych. Należy wykreślić krzywą kalibracyjną </w:t>
      </w:r>
      <w:r>
        <w:rPr>
          <w:rFonts w:ascii="Times New Roman" w:hAnsi="Times New Roman"/>
          <w:sz w:val="24"/>
          <w:szCs w:val="24"/>
        </w:rPr>
        <w:t xml:space="preserve">interpolacyjną i ekstrapolacyjną </w:t>
      </w:r>
      <w:r w:rsidRPr="004E289F">
        <w:rPr>
          <w:rFonts w:ascii="Times New Roman" w:hAnsi="Times New Roman"/>
          <w:sz w:val="24"/>
          <w:szCs w:val="24"/>
        </w:rPr>
        <w:t>(wykres punktowy), wyznaczyć współczynnik oraz r</w:t>
      </w:r>
      <w:r>
        <w:rPr>
          <w:rFonts w:ascii="Times New Roman" w:hAnsi="Times New Roman"/>
          <w:sz w:val="24"/>
          <w:szCs w:val="24"/>
        </w:rPr>
        <w:t>ównanie regresji (linia trendu) a także czułość metody.</w:t>
      </w:r>
    </w:p>
    <w:p w:rsidR="007B06C1" w:rsidRPr="0057700F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9D35D8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9D35D8">
        <w:rPr>
          <w:rFonts w:ascii="Times New Roman" w:hAnsi="Times New Roman"/>
          <w:b/>
          <w:color w:val="548DD4"/>
          <w:sz w:val="28"/>
          <w:szCs w:val="28"/>
          <w:u w:val="single"/>
        </w:rPr>
        <w:t>Liniowość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E289F">
        <w:rPr>
          <w:rFonts w:ascii="Times New Roman" w:hAnsi="Times New Roman"/>
          <w:sz w:val="24"/>
          <w:szCs w:val="24"/>
        </w:rPr>
        <w:t>Współczynnik prawidłowej krzywej kalibracyjnej powinien wynosić &gt; 0</w:t>
      </w:r>
      <w:r>
        <w:rPr>
          <w:rFonts w:ascii="Times New Roman" w:hAnsi="Times New Roman"/>
          <w:sz w:val="24"/>
          <w:szCs w:val="24"/>
        </w:rPr>
        <w:t>,999. Jeśli współczynnik r jest mniejszy</w:t>
      </w:r>
      <w:r w:rsidRPr="004E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należy odrzucić punkt lub punkty odpowiadające konkretnym roztworom wzorcowym czyli zawęzić zakres liniowy. W tym celu należy </w:t>
      </w:r>
      <w:r w:rsidRPr="004E289F">
        <w:rPr>
          <w:rFonts w:ascii="Times New Roman" w:hAnsi="Times New Roman"/>
          <w:sz w:val="24"/>
          <w:szCs w:val="24"/>
        </w:rPr>
        <w:t xml:space="preserve">wyznaczyć liniowość krzywej kalibracyjnej. 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Pr="009D35D8" w:rsidRDefault="007B06C1" w:rsidP="007B06C1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35D8">
        <w:rPr>
          <w:rFonts w:ascii="Times New Roman" w:hAnsi="Times New Roman"/>
          <w:b/>
          <w:sz w:val="24"/>
          <w:szCs w:val="24"/>
          <w:u w:val="single"/>
        </w:rPr>
        <w:t>Wyznaczanie liniowości z zależności funkcyjnej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sporządzić wykres kalibracyjny, który ma postać liniową (przykładowy wykres przedstawiono poniżej). 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817620" cy="2804160"/>
            <wp:effectExtent l="19050" t="0" r="0" b="0"/>
            <wp:docPr id="37" name="Obraz 1" descr="Liniowość - zależność funkcyjna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niowość - zależność funkcyjna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B963BE">
        <w:rPr>
          <w:rFonts w:ascii="Times New Roman" w:hAnsi="Times New Roman"/>
          <w:sz w:val="20"/>
          <w:szCs w:val="20"/>
        </w:rPr>
        <w:t>Rys</w:t>
      </w:r>
      <w:r>
        <w:rPr>
          <w:rFonts w:ascii="Times New Roman" w:hAnsi="Times New Roman"/>
          <w:sz w:val="20"/>
          <w:szCs w:val="20"/>
        </w:rPr>
        <w:t xml:space="preserve"> 1</w:t>
      </w:r>
      <w:r w:rsidRPr="00B963BE">
        <w:rPr>
          <w:rFonts w:ascii="Times New Roman" w:hAnsi="Times New Roman"/>
          <w:sz w:val="20"/>
          <w:szCs w:val="20"/>
        </w:rPr>
        <w:t>. Przykładowy wykres przedstawiający wyznaczenie liniowości (źródło: J. Namieśnik Ocena i kontrola jakości wyników pomiarów analitycznych)</w:t>
      </w:r>
      <w:r>
        <w:rPr>
          <w:rFonts w:ascii="Times New Roman" w:hAnsi="Times New Roman"/>
          <w:sz w:val="20"/>
          <w:szCs w:val="20"/>
        </w:rPr>
        <w:t>.</w:t>
      </w:r>
    </w:p>
    <w:p w:rsidR="007B06C1" w:rsidRPr="00B963BE" w:rsidRDefault="007B06C1" w:rsidP="007B06C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celu określenia zakresu stężeń, w którym wykres kalibracyjny ma postać liniową, wyznacza się zależność funkcyjną z odpowiedniego równania: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ind w:left="0"/>
        <w:jc w:val="center"/>
        <w:rPr>
          <w:rFonts w:ascii="Times New Roman" w:hAnsi="Times New Roman"/>
          <w:position w:val="-32"/>
          <w:sz w:val="24"/>
          <w:szCs w:val="24"/>
        </w:rPr>
      </w:pPr>
      <w:r w:rsidRPr="004E289F">
        <w:rPr>
          <w:rFonts w:ascii="Times New Roman" w:hAnsi="Times New Roman"/>
          <w:position w:val="-32"/>
          <w:sz w:val="24"/>
          <w:szCs w:val="24"/>
        </w:rPr>
        <w:object w:dxaOrig="1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4.2pt" o:ole="">
            <v:imagedata r:id="rId8" o:title=""/>
          </v:shape>
          <o:OLEObject Type="Embed" ProgID="Equation.3" ShapeID="_x0000_i1025" DrawAspect="Content" ObjectID="_1714294688" r:id="rId9"/>
        </w:object>
      </w:r>
    </w:p>
    <w:p w:rsidR="007B06C1" w:rsidRPr="00CF71F1" w:rsidRDefault="007B06C1" w:rsidP="007B06C1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F71F1">
        <w:rPr>
          <w:rFonts w:ascii="Times New Roman" w:hAnsi="Times New Roman"/>
          <w:sz w:val="20"/>
          <w:szCs w:val="20"/>
        </w:rPr>
        <w:t>y – sygnał urządzenia pomiarowego</w:t>
      </w:r>
    </w:p>
    <w:p w:rsidR="007B06C1" w:rsidRDefault="007B06C1" w:rsidP="007B06C1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F71F1">
        <w:rPr>
          <w:rFonts w:ascii="Times New Roman" w:hAnsi="Times New Roman"/>
          <w:sz w:val="20"/>
          <w:szCs w:val="20"/>
        </w:rPr>
        <w:t>x – odpowiadające danemu sygnałowi stężenie w próbce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zakres stężeń jest duży (trzy rzędy wielkości) można przedstawić dane w postaci logarytmicznej. Aby sporządzić wykres liniowości należy wygenerować następujące dane: stała odpowiedź będąca średnią arytmetyczną z wszystkich wartości y/x, dopuszczalne odchylenia od wartości średniej - ±5%. Oprócz tego umieścić na wykresie wartości stężeń oraz wartości obliczone z zależności funkcyjnej dla każdego punktu krzywej kalibracyjnej. Wykonać wykres punktowy. 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Wartości leżące w zakresie wyznaczonym przez dopuszczalne odchylenia odpowiadają stężeniom, które leżą w zakresie liniowym urządzenia pomiarowego.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nowych punktów należy</w:t>
      </w:r>
      <w:r w:rsidRPr="004E289F">
        <w:rPr>
          <w:rFonts w:ascii="Times New Roman" w:hAnsi="Times New Roman"/>
          <w:sz w:val="24"/>
          <w:szCs w:val="24"/>
        </w:rPr>
        <w:t xml:space="preserve"> wykreślić krzywą kalibracyjną wraz z linią trendu, określić r</w:t>
      </w:r>
      <w:r>
        <w:rPr>
          <w:rFonts w:ascii="Times New Roman" w:hAnsi="Times New Roman"/>
          <w:sz w:val="24"/>
          <w:szCs w:val="24"/>
        </w:rPr>
        <w:t>, równanie</w:t>
      </w:r>
      <w:r w:rsidRPr="004E2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regresji </w:t>
      </w:r>
      <w:r w:rsidRPr="004E289F">
        <w:rPr>
          <w:rFonts w:ascii="Times New Roman" w:hAnsi="Times New Roman"/>
          <w:sz w:val="24"/>
          <w:szCs w:val="24"/>
        </w:rPr>
        <w:t>oraz czułość metody.</w:t>
      </w:r>
    </w:p>
    <w:p w:rsidR="007B06C1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9D35D8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9D35D8">
        <w:rPr>
          <w:rFonts w:ascii="Times New Roman" w:hAnsi="Times New Roman"/>
          <w:b/>
          <w:color w:val="548DD4"/>
          <w:sz w:val="28"/>
          <w:szCs w:val="28"/>
          <w:u w:val="single"/>
        </w:rPr>
        <w:t xml:space="preserve">Granica wykrywalności </w:t>
      </w:r>
    </w:p>
    <w:p w:rsidR="007B06C1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Granicę wykrywalności należy wyznaczyć dla instrumentu pomiarowego oraz metody. Tę drugą, należy wyznaczyć dwoma metodami: na podstawie ślepych próbek z dodatkiem wzorca oraz z krzywej kalibracyjnej.</w:t>
      </w:r>
    </w:p>
    <w:p w:rsidR="007B06C1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9D35D8" w:rsidRDefault="007B06C1" w:rsidP="007B06C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9D35D8">
        <w:rPr>
          <w:rFonts w:ascii="Times New Roman" w:hAnsi="Times New Roman"/>
          <w:b/>
          <w:sz w:val="24"/>
          <w:szCs w:val="24"/>
        </w:rPr>
        <w:t>Granica wykrywalności instrumentu pomiarowego.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Granicę wykrywalności instrumentu pomiarowego należy wyznaczyć na postawie oznaczania zawartości analitu w ślepych próbach bez poddawania tych roztworów całej procedurze analitycznej. Należy skorzystać z następującego równania:</w:t>
      </w:r>
    </w:p>
    <w:p w:rsidR="007B06C1" w:rsidRDefault="007B06C1" w:rsidP="007B06C1">
      <w:pPr>
        <w:pStyle w:val="Akapitzlist"/>
        <w:spacing w:line="48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7B06C1" w:rsidRDefault="007B06C1" w:rsidP="007B06C1">
      <w:pPr>
        <w:pStyle w:val="Akapitzlist"/>
        <w:spacing w:line="48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E289F">
        <w:rPr>
          <w:rFonts w:ascii="Times New Roman" w:hAnsi="Times New Roman"/>
          <w:i/>
          <w:sz w:val="24"/>
          <w:szCs w:val="24"/>
        </w:rPr>
        <w:t>LOD</w:t>
      </w:r>
      <w:r w:rsidRPr="0007683F">
        <w:rPr>
          <w:rFonts w:ascii="Times New Roman" w:hAnsi="Times New Roman"/>
          <w:i/>
          <w:sz w:val="24"/>
          <w:szCs w:val="24"/>
          <w:vertAlign w:val="subscript"/>
        </w:rPr>
        <w:t>inst</w:t>
      </w:r>
      <w:r w:rsidRPr="004E289F">
        <w:rPr>
          <w:rFonts w:ascii="Times New Roman" w:hAnsi="Times New Roman"/>
          <w:i/>
          <w:sz w:val="24"/>
          <w:szCs w:val="24"/>
        </w:rPr>
        <w:t xml:space="preserve"> = 0 + 3s</w:t>
      </w:r>
      <w:r>
        <w:rPr>
          <w:rFonts w:ascii="Times New Roman" w:hAnsi="Times New Roman"/>
          <w:i/>
          <w:sz w:val="24"/>
          <w:szCs w:val="24"/>
        </w:rPr>
        <w:t>d</w:t>
      </w:r>
    </w:p>
    <w:p w:rsidR="007B06C1" w:rsidRPr="00F13B5A" w:rsidRDefault="007B06C1" w:rsidP="007B06C1">
      <w:pPr>
        <w:ind w:left="709"/>
        <w:rPr>
          <w:rFonts w:ascii="Times New Roman" w:hAnsi="Times New Roman" w:cs="Times New Roman"/>
          <w:position w:val="-24"/>
          <w:sz w:val="20"/>
          <w:szCs w:val="20"/>
        </w:rPr>
      </w:pPr>
      <w:r w:rsidRPr="00421075">
        <w:rPr>
          <w:rFonts w:ascii="Times New Roman" w:hAnsi="Times New Roman" w:cs="Times New Roman"/>
          <w:i/>
          <w:position w:val="-24"/>
          <w:sz w:val="20"/>
          <w:szCs w:val="20"/>
        </w:rPr>
        <w:t>s</w:t>
      </w:r>
      <w:r w:rsidRPr="009D35D8">
        <w:rPr>
          <w:rFonts w:ascii="Times New Roman" w:hAnsi="Times New Roman" w:cs="Times New Roman"/>
          <w:i/>
          <w:position w:val="-24"/>
          <w:sz w:val="20"/>
          <w:szCs w:val="20"/>
        </w:rPr>
        <w:t>d</w:t>
      </w:r>
      <w:r w:rsidRPr="00F13B5A">
        <w:rPr>
          <w:rFonts w:ascii="Times New Roman" w:hAnsi="Times New Roman" w:cs="Times New Roman"/>
          <w:position w:val="-24"/>
          <w:sz w:val="20"/>
          <w:szCs w:val="20"/>
        </w:rPr>
        <w:t>- odchylenie standardowe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Pr="009D35D8" w:rsidRDefault="007B06C1" w:rsidP="007B06C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9D35D8">
        <w:rPr>
          <w:rFonts w:ascii="Times New Roman" w:hAnsi="Times New Roman"/>
          <w:b/>
          <w:sz w:val="24"/>
          <w:szCs w:val="24"/>
        </w:rPr>
        <w:t>Granica wykrywalności metody analitycznej.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Granicę wykrywalności metody pomiarowej należy wyznaczyć na postawie oznaczania zawartości analitu w ślepych próbach z dodatkiem analitu na poziomie spodziewanej granicy wykrywalności (0,2 mg/L) po zastosowaniu danej metody analitycznej. Na początku należy</w:t>
      </w:r>
      <w:r w:rsidRPr="004E289F">
        <w:rPr>
          <w:rFonts w:ascii="Times New Roman" w:hAnsi="Times New Roman"/>
          <w:sz w:val="24"/>
          <w:szCs w:val="24"/>
        </w:rPr>
        <w:t xml:space="preserve"> wykonać test Q-Dixona i odrzucić ewentualne błędy grube. </w:t>
      </w:r>
      <w:r>
        <w:rPr>
          <w:rFonts w:ascii="Times New Roman" w:hAnsi="Times New Roman"/>
          <w:sz w:val="24"/>
          <w:szCs w:val="24"/>
        </w:rPr>
        <w:t>Następnie należy skorzystać z następującego równania:</w:t>
      </w:r>
    </w:p>
    <w:p w:rsidR="007B06C1" w:rsidRDefault="007B06C1" w:rsidP="007B06C1">
      <w:pPr>
        <w:pStyle w:val="Akapitzlist"/>
        <w:spacing w:line="48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7B06C1" w:rsidRDefault="007B06C1" w:rsidP="007B06C1">
      <w:pPr>
        <w:pStyle w:val="Akapitzlist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E289F">
        <w:rPr>
          <w:rFonts w:ascii="Times New Roman" w:hAnsi="Times New Roman"/>
          <w:i/>
          <w:sz w:val="24"/>
          <w:szCs w:val="24"/>
        </w:rPr>
        <w:t>LOD</w:t>
      </w:r>
      <w:r w:rsidRPr="0007683F">
        <w:rPr>
          <w:rFonts w:ascii="Times New Roman" w:hAnsi="Times New Roman"/>
          <w:i/>
          <w:sz w:val="24"/>
          <w:szCs w:val="24"/>
          <w:vertAlign w:val="subscript"/>
        </w:rPr>
        <w:t>met</w:t>
      </w:r>
      <w:r w:rsidRPr="004E289F">
        <w:rPr>
          <w:rFonts w:ascii="Times New Roman" w:hAnsi="Times New Roman"/>
          <w:i/>
          <w:sz w:val="24"/>
          <w:szCs w:val="24"/>
        </w:rPr>
        <w:t xml:space="preserve"> = 0 + 3s</w:t>
      </w:r>
      <w:r>
        <w:rPr>
          <w:rFonts w:ascii="Times New Roman" w:hAnsi="Times New Roman"/>
          <w:i/>
          <w:sz w:val="24"/>
          <w:szCs w:val="24"/>
        </w:rPr>
        <w:t>d</w:t>
      </w:r>
    </w:p>
    <w:p w:rsidR="007B06C1" w:rsidRDefault="007B06C1" w:rsidP="007B06C1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35D8">
        <w:rPr>
          <w:rFonts w:ascii="Times New Roman" w:hAnsi="Times New Roman"/>
          <w:b/>
          <w:sz w:val="24"/>
          <w:szCs w:val="24"/>
        </w:rPr>
        <w:lastRenderedPageBreak/>
        <w:t>Granica wykrywalności wyznaczona z krzywej kalibracyjnej</w:t>
      </w:r>
      <w:r>
        <w:rPr>
          <w:rFonts w:ascii="Times New Roman" w:hAnsi="Times New Roman"/>
          <w:sz w:val="24"/>
          <w:szCs w:val="24"/>
        </w:rPr>
        <w:t xml:space="preserve"> na podstawie odchylenia standardowego zbioru sygnałów i kąta nachylenia krzywej kalibracyjnej. Należy skorzystać z następującego równania:</w:t>
      </w:r>
    </w:p>
    <w:p w:rsidR="007B06C1" w:rsidRDefault="007B06C1" w:rsidP="007B06C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spacing w:line="480" w:lineRule="auto"/>
        <w:ind w:left="0"/>
        <w:jc w:val="center"/>
        <w:rPr>
          <w:rFonts w:ascii="Times New Roman" w:hAnsi="Times New Roman"/>
          <w:position w:val="-32"/>
          <w:sz w:val="24"/>
          <w:szCs w:val="24"/>
        </w:rPr>
      </w:pPr>
      <w:r w:rsidRPr="004E289F">
        <w:rPr>
          <w:rFonts w:ascii="Times New Roman" w:hAnsi="Times New Roman"/>
          <w:position w:val="-32"/>
          <w:sz w:val="24"/>
          <w:szCs w:val="24"/>
        </w:rPr>
        <w:object w:dxaOrig="1219" w:dyaOrig="700">
          <v:shape id="_x0000_i1026" type="#_x0000_t75" style="width:67.8pt;height:34.2pt" o:ole="">
            <v:imagedata r:id="rId10" o:title=""/>
          </v:shape>
          <o:OLEObject Type="Embed" ProgID="Equation.3" ShapeID="_x0000_i1026" DrawAspect="Content" ObjectID="_1714294689" r:id="rId11"/>
        </w:object>
      </w:r>
    </w:p>
    <w:p w:rsidR="007B06C1" w:rsidRPr="00CF71F1" w:rsidRDefault="007B06C1" w:rsidP="007B06C1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– współczynnik kierunkowy krzywej kalibracyjnej</w:t>
      </w:r>
    </w:p>
    <w:p w:rsidR="007B06C1" w:rsidRDefault="007B06C1" w:rsidP="007B06C1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 – odchylenie standardowe, które należy wyznaczyć jako resztkowe odchylenie standardowe krzywej kalibracyjnej s</w:t>
      </w:r>
      <w:r w:rsidRPr="00A71513">
        <w:rPr>
          <w:rFonts w:ascii="Times New Roman" w:hAnsi="Times New Roman"/>
          <w:sz w:val="20"/>
          <w:szCs w:val="20"/>
          <w:vertAlign w:val="subscript"/>
        </w:rPr>
        <w:t>xy</w:t>
      </w:r>
      <w:r>
        <w:rPr>
          <w:rFonts w:ascii="Times New Roman" w:hAnsi="Times New Roman"/>
          <w:sz w:val="20"/>
          <w:szCs w:val="20"/>
        </w:rPr>
        <w:t xml:space="preserve"> lub odchylenie standardowe wyrazu wolnego uzyskanej krzywej kalibracyjnej </w:t>
      </w:r>
    </w:p>
    <w:p w:rsidR="007B06C1" w:rsidRPr="004E289F" w:rsidRDefault="007B06C1" w:rsidP="007B06C1">
      <w:pPr>
        <w:pStyle w:val="Akapitzlist"/>
        <w:spacing w:line="48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7B06C1" w:rsidRPr="009D35D8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9D35D8">
        <w:rPr>
          <w:rFonts w:ascii="Times New Roman" w:hAnsi="Times New Roman"/>
          <w:b/>
          <w:color w:val="548DD4"/>
          <w:sz w:val="28"/>
          <w:szCs w:val="28"/>
          <w:u w:val="single"/>
        </w:rPr>
        <w:t>Granica oznaczalności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Granicę </w:t>
      </w:r>
      <w:r w:rsidRPr="004E289F">
        <w:rPr>
          <w:rFonts w:ascii="Times New Roman" w:hAnsi="Times New Roman"/>
          <w:sz w:val="24"/>
          <w:szCs w:val="24"/>
        </w:rPr>
        <w:t xml:space="preserve">oznaczalności </w:t>
      </w:r>
      <w:r>
        <w:rPr>
          <w:rFonts w:ascii="Times New Roman" w:hAnsi="Times New Roman"/>
          <w:sz w:val="24"/>
          <w:szCs w:val="24"/>
        </w:rPr>
        <w:t>należy obliczyć zgodnie z podanym równaniem</w:t>
      </w:r>
      <w:r w:rsidRPr="004E289F">
        <w:rPr>
          <w:rFonts w:ascii="Times New Roman" w:hAnsi="Times New Roman"/>
          <w:sz w:val="24"/>
          <w:szCs w:val="24"/>
        </w:rPr>
        <w:t>:</w:t>
      </w:r>
    </w:p>
    <w:p w:rsidR="007B06C1" w:rsidRPr="004E289F" w:rsidRDefault="007B06C1" w:rsidP="007B06C1">
      <w:pPr>
        <w:pStyle w:val="Akapitzlist"/>
        <w:spacing w:line="48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7B06C1" w:rsidRDefault="007B06C1" w:rsidP="007B06C1">
      <w:pPr>
        <w:pStyle w:val="Akapitzlist"/>
        <w:spacing w:line="48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E289F">
        <w:rPr>
          <w:rFonts w:ascii="Times New Roman" w:hAnsi="Times New Roman"/>
          <w:i/>
          <w:sz w:val="24"/>
          <w:szCs w:val="24"/>
        </w:rPr>
        <w:t>LOQ = 0 + 10s</w:t>
      </w:r>
      <w:r>
        <w:rPr>
          <w:rFonts w:ascii="Times New Roman" w:hAnsi="Times New Roman"/>
          <w:i/>
          <w:sz w:val="24"/>
          <w:szCs w:val="24"/>
        </w:rPr>
        <w:t>d</w:t>
      </w:r>
    </w:p>
    <w:p w:rsidR="007B06C1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9D35D8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9D35D8">
        <w:rPr>
          <w:rFonts w:ascii="Times New Roman" w:hAnsi="Times New Roman"/>
          <w:b/>
          <w:color w:val="548DD4"/>
          <w:sz w:val="28"/>
          <w:szCs w:val="28"/>
          <w:u w:val="single"/>
        </w:rPr>
        <w:t>Powtarzalność/precyzja</w:t>
      </w:r>
    </w:p>
    <w:p w:rsidR="007B06C1" w:rsidRPr="00B94A56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F1DD7">
        <w:rPr>
          <w:rFonts w:ascii="Times New Roman" w:hAnsi="Times New Roman"/>
          <w:sz w:val="24"/>
          <w:szCs w:val="24"/>
        </w:rPr>
        <w:t>Aby obliczyć powtarzalność</w:t>
      </w:r>
      <w:r>
        <w:rPr>
          <w:rFonts w:ascii="Times New Roman" w:hAnsi="Times New Roman"/>
          <w:sz w:val="24"/>
          <w:szCs w:val="24"/>
        </w:rPr>
        <w:t xml:space="preserve"> należy wykorzystać wyniki oznaczania Zn w próbce rzeczywistej. Pierwszym</w:t>
      </w:r>
      <w:r w:rsidRPr="004E289F">
        <w:rPr>
          <w:rFonts w:ascii="Times New Roman" w:hAnsi="Times New Roman"/>
          <w:sz w:val="24"/>
          <w:szCs w:val="24"/>
        </w:rPr>
        <w:t xml:space="preserve"> krokiem jest zastosowanie testu Q-Dixona, a nas</w:t>
      </w:r>
      <w:r>
        <w:rPr>
          <w:rFonts w:ascii="Times New Roman" w:hAnsi="Times New Roman"/>
          <w:sz w:val="24"/>
          <w:szCs w:val="24"/>
        </w:rPr>
        <w:t>tępnie należy obliczyć precyzję</w:t>
      </w:r>
      <w:r w:rsidRPr="004E289F">
        <w:rPr>
          <w:rFonts w:ascii="Times New Roman" w:hAnsi="Times New Roman"/>
          <w:sz w:val="24"/>
          <w:szCs w:val="24"/>
        </w:rPr>
        <w:t>. Oby to zrobić trzeba policzyć (wykorz</w:t>
      </w:r>
      <w:r>
        <w:rPr>
          <w:rFonts w:ascii="Times New Roman" w:hAnsi="Times New Roman"/>
          <w:sz w:val="24"/>
          <w:szCs w:val="24"/>
        </w:rPr>
        <w:t>ystując formuły e</w:t>
      </w:r>
      <w:r w:rsidRPr="004E289F">
        <w:rPr>
          <w:rFonts w:ascii="Times New Roman" w:hAnsi="Times New Roman"/>
          <w:sz w:val="24"/>
          <w:szCs w:val="24"/>
        </w:rPr>
        <w:t xml:space="preserve">xcela) średnią i odchylenie standardowe. Precyzję obliczamy jako współczynnik zmienności </w:t>
      </w:r>
      <w:r>
        <w:rPr>
          <w:rFonts w:ascii="Times New Roman" w:hAnsi="Times New Roman"/>
          <w:sz w:val="24"/>
          <w:szCs w:val="24"/>
        </w:rPr>
        <w:t>(CV). Do obliczenia omawianego parametru proszę użyć następującego wzoru</w:t>
      </w:r>
      <w:r w:rsidRPr="004E289F">
        <w:rPr>
          <w:rFonts w:ascii="Times New Roman" w:hAnsi="Times New Roman"/>
          <w:sz w:val="24"/>
          <w:szCs w:val="24"/>
        </w:rPr>
        <w:t>:</w:t>
      </w:r>
    </w:p>
    <w:p w:rsidR="007B06C1" w:rsidRDefault="007B06C1" w:rsidP="007B06C1">
      <w:pPr>
        <w:spacing w:line="360" w:lineRule="auto"/>
        <w:ind w:left="360"/>
        <w:jc w:val="center"/>
        <w:rPr>
          <w:rFonts w:ascii="Times New Roman" w:hAnsi="Times New Roman" w:cs="Times New Roman"/>
          <w:position w:val="-24"/>
          <w:lang w:val="en-US"/>
        </w:rPr>
      </w:pPr>
      <w:r w:rsidRPr="004E289F">
        <w:rPr>
          <w:rFonts w:ascii="Times New Roman" w:hAnsi="Times New Roman" w:cs="Times New Roman"/>
          <w:position w:val="-24"/>
          <w:lang w:val="en-US"/>
        </w:rPr>
        <w:object w:dxaOrig="1180" w:dyaOrig="620">
          <v:shape id="_x0000_i1027" type="#_x0000_t75" style="width:82.2pt;height:32.4pt" o:ole="">
            <v:imagedata r:id="rId12" o:title=""/>
          </v:shape>
          <o:OLEObject Type="Embed" ProgID="Equation.3" ShapeID="_x0000_i1027" DrawAspect="Content" ObjectID="_1714294690" r:id="rId13"/>
        </w:object>
      </w:r>
    </w:p>
    <w:p w:rsidR="007B06C1" w:rsidRPr="00F13B5A" w:rsidRDefault="007B06C1" w:rsidP="007B06C1">
      <w:pPr>
        <w:ind w:left="709"/>
        <w:rPr>
          <w:rFonts w:ascii="Times New Roman" w:hAnsi="Times New Roman" w:cs="Times New Roman"/>
          <w:position w:val="-24"/>
          <w:sz w:val="20"/>
          <w:szCs w:val="20"/>
        </w:rPr>
      </w:pPr>
      <w:r w:rsidRPr="00421075">
        <w:rPr>
          <w:rFonts w:ascii="Times New Roman" w:hAnsi="Times New Roman" w:cs="Times New Roman"/>
          <w:i/>
          <w:position w:val="-24"/>
          <w:sz w:val="20"/>
          <w:szCs w:val="20"/>
        </w:rPr>
        <w:t>s</w:t>
      </w:r>
      <w:r w:rsidRPr="00F13B5A">
        <w:rPr>
          <w:rFonts w:ascii="Times New Roman" w:hAnsi="Times New Roman" w:cs="Times New Roman"/>
          <w:position w:val="-24"/>
          <w:sz w:val="20"/>
          <w:szCs w:val="20"/>
        </w:rPr>
        <w:t xml:space="preserve"> - odchylenie standardowe</w:t>
      </w:r>
    </w:p>
    <w:p w:rsidR="007B06C1" w:rsidRPr="00F13B5A" w:rsidRDefault="007B06C1" w:rsidP="007B06C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6"/>
          <w:sz w:val="20"/>
          <w:szCs w:val="20"/>
        </w:rPr>
        <w:t xml:space="preserve">             </w:t>
      </w:r>
      <w:r w:rsidRPr="00F13B5A">
        <w:rPr>
          <w:rFonts w:ascii="Times New Roman" w:hAnsi="Times New Roman" w:cs="Times New Roman"/>
          <w:position w:val="-6"/>
          <w:sz w:val="20"/>
          <w:szCs w:val="20"/>
        </w:rPr>
        <w:object w:dxaOrig="220" w:dyaOrig="260">
          <v:shape id="_x0000_i1028" type="#_x0000_t75" style="width:10.8pt;height:13.2pt" o:ole="">
            <v:imagedata r:id="rId14" o:title=""/>
          </v:shape>
          <o:OLEObject Type="Embed" ProgID="Equation.3" ShapeID="_x0000_i1028" DrawAspect="Content" ObjectID="_1714294691" r:id="rId15"/>
        </w:object>
      </w:r>
      <w:r w:rsidRPr="00F13B5A">
        <w:rPr>
          <w:rFonts w:ascii="Times New Roman" w:hAnsi="Times New Roman" w:cs="Times New Roman"/>
          <w:sz w:val="20"/>
          <w:szCs w:val="20"/>
        </w:rPr>
        <w:t>- wartość średnia</w:t>
      </w:r>
    </w:p>
    <w:p w:rsidR="007B06C1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57700F" w:rsidRDefault="007B06C1" w:rsidP="007B06C1">
      <w:pPr>
        <w:pStyle w:val="Akapitzlist"/>
        <w:tabs>
          <w:tab w:val="left" w:pos="2820"/>
        </w:tabs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C910CF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C910CF">
        <w:rPr>
          <w:rFonts w:ascii="Times New Roman" w:hAnsi="Times New Roman"/>
          <w:b/>
          <w:color w:val="548DD4"/>
          <w:sz w:val="28"/>
          <w:szCs w:val="28"/>
          <w:u w:val="single"/>
        </w:rPr>
        <w:t>Dokładność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Dokładność definiowaną jako stopień zgodności między uzyskanym wynikiem pojedynczego pomiaru a wartością rzeczywistą obliczamy według następującego wzoru:</w:t>
      </w:r>
    </w:p>
    <w:p w:rsidR="007B06C1" w:rsidRPr="00855BDD" w:rsidRDefault="007B06C1" w:rsidP="007B06C1">
      <w:pPr>
        <w:spacing w:line="360" w:lineRule="auto"/>
        <w:rPr>
          <w:rFonts w:ascii="Times New Roman" w:hAnsi="Times New Roman" w:cs="Times New Roman"/>
          <w:position w:val="-24"/>
        </w:rPr>
      </w:pPr>
    </w:p>
    <w:p w:rsidR="007B06C1" w:rsidRDefault="007B06C1" w:rsidP="007B06C1">
      <w:pPr>
        <w:jc w:val="center"/>
        <w:rPr>
          <w:rFonts w:ascii="Times New Roman" w:eastAsia="Calibri" w:hAnsi="Times New Roman" w:cs="Times New Roman"/>
          <w:position w:val="-28"/>
          <w:lang w:val="en-US"/>
        </w:rPr>
      </w:pPr>
      <w:r w:rsidRPr="00F13B5A">
        <w:rPr>
          <w:rFonts w:ascii="Times New Roman" w:eastAsia="Calibri" w:hAnsi="Times New Roman" w:cs="Times New Roman"/>
          <w:position w:val="-32"/>
          <w:lang w:val="en-US"/>
        </w:rPr>
        <w:object w:dxaOrig="1640" w:dyaOrig="840">
          <v:shape id="_x0000_i1029" type="#_x0000_t75" style="width:126.6pt;height:47.4pt" o:ole="">
            <v:imagedata r:id="rId16" o:title=""/>
          </v:shape>
          <o:OLEObject Type="Embed" ProgID="Equation.3" ShapeID="_x0000_i1029" DrawAspect="Content" ObjectID="_1714294692" r:id="rId17"/>
        </w:object>
      </w:r>
    </w:p>
    <w:p w:rsidR="007B06C1" w:rsidRDefault="007B06C1" w:rsidP="007B06C1">
      <w:pPr>
        <w:ind w:left="709"/>
        <w:rPr>
          <w:rFonts w:ascii="Times New Roman" w:eastAsia="Calibri" w:hAnsi="Times New Roman" w:cs="Times New Roman"/>
          <w:position w:val="-28"/>
          <w:sz w:val="20"/>
          <w:szCs w:val="20"/>
        </w:rPr>
      </w:pPr>
      <w:r w:rsidRPr="007E0864">
        <w:rPr>
          <w:rFonts w:ascii="Times New Roman" w:eastAsia="Calibri" w:hAnsi="Times New Roman" w:cs="Times New Roman"/>
          <w:position w:val="-28"/>
          <w:sz w:val="20"/>
          <w:szCs w:val="20"/>
        </w:rPr>
        <w:t>x – wartość pojedyńczego pomiaru</w:t>
      </w:r>
    </w:p>
    <w:p w:rsidR="007B06C1" w:rsidRPr="007E0864" w:rsidRDefault="007B06C1" w:rsidP="007B06C1">
      <w:pPr>
        <w:ind w:left="709"/>
        <w:rPr>
          <w:rFonts w:ascii="Times New Roman" w:eastAsia="Calibri" w:hAnsi="Times New Roman" w:cs="Times New Roman"/>
          <w:position w:val="-28"/>
          <w:sz w:val="20"/>
          <w:szCs w:val="20"/>
        </w:rPr>
      </w:pPr>
      <w:r>
        <w:rPr>
          <w:rFonts w:ascii="Times New Roman" w:eastAsia="Calibri" w:hAnsi="Times New Roman" w:cs="Times New Roman"/>
          <w:position w:val="-28"/>
          <w:sz w:val="20"/>
          <w:szCs w:val="20"/>
        </w:rPr>
        <w:t>C</w:t>
      </w:r>
      <w:r w:rsidRPr="007E0864">
        <w:rPr>
          <w:rFonts w:ascii="Times New Roman" w:eastAsia="Calibri" w:hAnsi="Times New Roman" w:cs="Times New Roman"/>
          <w:position w:val="-28"/>
          <w:sz w:val="20"/>
          <w:szCs w:val="20"/>
          <w:vertAlign w:val="subscript"/>
        </w:rPr>
        <w:t>ref</w:t>
      </w:r>
      <w:r>
        <w:rPr>
          <w:rFonts w:ascii="Times New Roman" w:eastAsia="Calibri" w:hAnsi="Times New Roman" w:cs="Times New Roman"/>
          <w:position w:val="-28"/>
          <w:sz w:val="20"/>
          <w:szCs w:val="20"/>
          <w:vertAlign w:val="subscript"/>
        </w:rPr>
        <w:t xml:space="preserve"> </w:t>
      </w:r>
      <w:r w:rsidRPr="007E0864">
        <w:rPr>
          <w:rFonts w:ascii="Times New Roman" w:eastAsia="Calibri" w:hAnsi="Times New Roman" w:cs="Times New Roman"/>
          <w:position w:val="-28"/>
          <w:sz w:val="20"/>
          <w:szCs w:val="20"/>
          <w:vertAlign w:val="subscript"/>
        </w:rPr>
        <w:t xml:space="preserve"> </w:t>
      </w:r>
      <w:r>
        <w:rPr>
          <w:rFonts w:ascii="Times New Roman" w:eastAsia="Calibri" w:hAnsi="Times New Roman" w:cs="Times New Roman"/>
          <w:position w:val="-28"/>
          <w:sz w:val="20"/>
          <w:szCs w:val="20"/>
        </w:rPr>
        <w:t>– wartość certyfikowana</w:t>
      </w:r>
    </w:p>
    <w:p w:rsidR="007B06C1" w:rsidRDefault="007B06C1" w:rsidP="007B06C1">
      <w:pPr>
        <w:jc w:val="both"/>
        <w:rPr>
          <w:rFonts w:ascii="Times New Roman" w:eastAsia="Calibri" w:hAnsi="Times New Roman" w:cs="Times New Roman"/>
          <w:position w:val="-32"/>
        </w:rPr>
      </w:pPr>
    </w:p>
    <w:p w:rsidR="007B06C1" w:rsidRDefault="007B06C1" w:rsidP="007B06C1">
      <w:pPr>
        <w:jc w:val="both"/>
        <w:rPr>
          <w:rFonts w:ascii="Times New Roman" w:eastAsia="Calibri" w:hAnsi="Times New Roman" w:cs="Times New Roman"/>
          <w:position w:val="-32"/>
        </w:rPr>
      </w:pPr>
      <w:r>
        <w:rPr>
          <w:rFonts w:ascii="Times New Roman" w:eastAsia="Calibri" w:hAnsi="Times New Roman" w:cs="Times New Roman"/>
          <w:position w:val="-32"/>
        </w:rPr>
        <w:lastRenderedPageBreak/>
        <w:t xml:space="preserve">Dokładność należy obliczyć do każdego pojedynczego pomiaru! </w:t>
      </w:r>
    </w:p>
    <w:p w:rsidR="007B06C1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4"/>
          <w:szCs w:val="24"/>
          <w:u w:val="single"/>
        </w:rPr>
      </w:pPr>
    </w:p>
    <w:p w:rsidR="007B06C1" w:rsidRPr="00C910CF" w:rsidRDefault="007B06C1" w:rsidP="007B06C1">
      <w:pPr>
        <w:pStyle w:val="Akapitzlist"/>
        <w:ind w:left="0"/>
        <w:jc w:val="both"/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C910CF">
        <w:rPr>
          <w:rFonts w:ascii="Times New Roman" w:hAnsi="Times New Roman"/>
          <w:b/>
          <w:color w:val="548DD4"/>
          <w:sz w:val="28"/>
          <w:szCs w:val="28"/>
          <w:u w:val="single"/>
        </w:rPr>
        <w:t>Poprawność (odzysk)</w:t>
      </w:r>
    </w:p>
    <w:p w:rsidR="007B06C1" w:rsidRDefault="007B06C1" w:rsidP="007B06C1">
      <w:pPr>
        <w:jc w:val="both"/>
        <w:rPr>
          <w:rFonts w:ascii="Times New Roman" w:eastAsia="Calibri" w:hAnsi="Times New Roman" w:cs="Times New Roman"/>
          <w:position w:val="-32"/>
        </w:rPr>
      </w:pPr>
      <w:r>
        <w:rPr>
          <w:rFonts w:ascii="Times New Roman" w:eastAsia="Calibri" w:hAnsi="Times New Roman" w:cs="Times New Roman"/>
          <w:position w:val="-32"/>
        </w:rPr>
        <w:t>Poprawność definiowaną jako stopień zgodności wyniku oznaczania (wartość średnia z  serii pomiarowej) z wartością oczekiwaną (certyfikowaną) obliczana jest według następującego wzoru:</w:t>
      </w:r>
    </w:p>
    <w:p w:rsidR="007B06C1" w:rsidRPr="004E289F" w:rsidRDefault="007B06C1" w:rsidP="007B06C1">
      <w:pPr>
        <w:jc w:val="center"/>
        <w:rPr>
          <w:rFonts w:ascii="Times New Roman" w:eastAsia="Calibri" w:hAnsi="Times New Roman" w:cs="Times New Roman"/>
          <w:position w:val="-32"/>
        </w:rPr>
      </w:pPr>
      <w:r w:rsidRPr="004E289F">
        <w:rPr>
          <w:rFonts w:ascii="Times New Roman" w:eastAsia="Calibri" w:hAnsi="Times New Roman" w:cs="Times New Roman"/>
          <w:position w:val="-32"/>
        </w:rPr>
        <w:object w:dxaOrig="1440" w:dyaOrig="720">
          <v:shape id="_x0000_i1030" type="#_x0000_t75" style="width:80.4pt;height:35.4pt" o:ole="">
            <v:imagedata r:id="rId18" o:title=""/>
          </v:shape>
          <o:OLEObject Type="Embed" ProgID="Equation.3" ShapeID="_x0000_i1030" DrawAspect="Content" ObjectID="_1714294693" r:id="rId19"/>
        </w:object>
      </w:r>
    </w:p>
    <w:p w:rsidR="007B06C1" w:rsidRPr="00F13B5A" w:rsidRDefault="007B06C1" w:rsidP="007B06C1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13B5A">
        <w:rPr>
          <w:rFonts w:ascii="Times New Roman" w:hAnsi="Times New Roman" w:cs="Times New Roman"/>
          <w:position w:val="-14"/>
          <w:sz w:val="20"/>
          <w:szCs w:val="20"/>
        </w:rPr>
        <w:object w:dxaOrig="620" w:dyaOrig="380">
          <v:shape id="_x0000_i1031" type="#_x0000_t75" style="width:31.2pt;height:19.2pt" o:ole="">
            <v:imagedata r:id="rId20" o:title=""/>
          </v:shape>
          <o:OLEObject Type="Embed" ProgID="Equation.3" ShapeID="_x0000_i1031" DrawAspect="Content" ObjectID="_1714294694" r:id="rId21"/>
        </w:object>
      </w:r>
      <w:r w:rsidRPr="00F13B5A">
        <w:rPr>
          <w:rFonts w:ascii="Times New Roman" w:hAnsi="Times New Roman" w:cs="Times New Roman"/>
          <w:sz w:val="20"/>
          <w:szCs w:val="20"/>
        </w:rPr>
        <w:t>- wartość średnia z serii pomiarów</w:t>
      </w:r>
    </w:p>
    <w:p w:rsidR="007B06C1" w:rsidRPr="00F13B5A" w:rsidRDefault="007B06C1" w:rsidP="007B06C1">
      <w:pPr>
        <w:ind w:left="709"/>
        <w:jc w:val="both"/>
        <w:rPr>
          <w:rFonts w:ascii="Times New Roman" w:eastAsia="Calibri" w:hAnsi="Times New Roman" w:cs="Times New Roman"/>
          <w:position w:val="-32"/>
          <w:sz w:val="20"/>
          <w:szCs w:val="20"/>
        </w:rPr>
      </w:pPr>
      <w:r w:rsidRPr="00F13B5A">
        <w:rPr>
          <w:rFonts w:ascii="Times New Roman" w:hAnsi="Times New Roman" w:cs="Times New Roman"/>
          <w:position w:val="-14"/>
          <w:sz w:val="20"/>
          <w:szCs w:val="20"/>
        </w:rPr>
        <w:object w:dxaOrig="420" w:dyaOrig="380">
          <v:shape id="_x0000_i1032" type="#_x0000_t75" style="width:21pt;height:19.2pt" o:ole="">
            <v:imagedata r:id="rId22" o:title=""/>
          </v:shape>
          <o:OLEObject Type="Embed" ProgID="Equation.3" ShapeID="_x0000_i1032" DrawAspect="Content" ObjectID="_1714294695" r:id="rId23"/>
        </w:object>
      </w:r>
      <w:r w:rsidRPr="00F13B5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position w:val="-28"/>
          <w:sz w:val="20"/>
          <w:szCs w:val="20"/>
        </w:rPr>
        <w:t>wartość certyfikowana</w:t>
      </w:r>
    </w:p>
    <w:p w:rsidR="007B06C1" w:rsidRDefault="007B06C1" w:rsidP="007B06C1">
      <w:pPr>
        <w:jc w:val="both"/>
        <w:rPr>
          <w:rFonts w:ascii="Times New Roman" w:hAnsi="Times New Roman" w:cs="Times New Roman"/>
        </w:rPr>
      </w:pPr>
    </w:p>
    <w:p w:rsidR="007B06C1" w:rsidRDefault="007B06C1" w:rsidP="007B06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Precyzja, dokładność i poprawność są wyrażone w %.</w:t>
      </w:r>
    </w:p>
    <w:p w:rsidR="007B06C1" w:rsidRDefault="007B06C1" w:rsidP="007B06C1">
      <w:pPr>
        <w:jc w:val="both"/>
        <w:rPr>
          <w:rFonts w:ascii="Times New Roman" w:hAnsi="Times New Roman" w:cs="Times New Roman"/>
        </w:rPr>
      </w:pPr>
    </w:p>
    <w:p w:rsidR="007B06C1" w:rsidRDefault="007B06C1" w:rsidP="007B06C1">
      <w:pPr>
        <w:jc w:val="both"/>
        <w:rPr>
          <w:rFonts w:ascii="Times New Roman" w:hAnsi="Times New Roman" w:cs="Times New Roman"/>
        </w:rPr>
      </w:pPr>
    </w:p>
    <w:p w:rsidR="007B06C1" w:rsidRPr="004E289F" w:rsidRDefault="007B06C1" w:rsidP="007B06C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Ostatnim etapem wykonania ćwiczenia jest sformułowanie wniosków. Ponieważ celem ćwiczenia była walidacja czyli ocena procedury analitycznej, należy podsumować do jakiego celu procedura ta jest przeznaczona, w jakim zakresie liniowym i pomiarowym możemy pracować, jakie najmniejsze stężenie Zn możemy wykryć i oznaczyć i czy Państwa zdaniem procedura pozwala na uzyskanie precyzyjnych, dokładnych i poprawnych wyników. Wyniki otrzymane dla poszczególnych parametrów oraz wnioski należy przedstawić w raporcie końcowym.</w:t>
      </w:r>
    </w:p>
    <w:p w:rsidR="007B06C1" w:rsidRDefault="007B06C1" w:rsidP="007B06C1">
      <w:pPr>
        <w:spacing w:line="276" w:lineRule="auto"/>
      </w:pPr>
    </w:p>
    <w:p w:rsidR="007B06C1" w:rsidRPr="007B06C1" w:rsidRDefault="007B06C1" w:rsidP="007B06C1">
      <w:pPr>
        <w:pStyle w:val="Akapit2"/>
      </w:pPr>
    </w:p>
    <w:sectPr w:rsidR="007B06C1" w:rsidRPr="007B06C1" w:rsidSect="008C1C77">
      <w:headerReference w:type="default" r:id="rId24"/>
      <w:footerReference w:type="even" r:id="rId25"/>
      <w:footerReference w:type="default" r:id="rId2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23" w:rsidRDefault="00734023">
      <w:r>
        <w:separator/>
      </w:r>
    </w:p>
  </w:endnote>
  <w:endnote w:type="continuationSeparator" w:id="0">
    <w:p w:rsidR="00734023" w:rsidRDefault="0073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5" w:rsidRDefault="00B56E65" w:rsidP="009A5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E65" w:rsidRDefault="00B56E65" w:rsidP="002718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5" w:rsidRDefault="00B56E65" w:rsidP="009A5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06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6E65" w:rsidRDefault="00B56E65" w:rsidP="002718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23" w:rsidRDefault="00734023">
      <w:r>
        <w:separator/>
      </w:r>
    </w:p>
  </w:footnote>
  <w:footnote w:type="continuationSeparator" w:id="0">
    <w:p w:rsidR="00734023" w:rsidRDefault="0073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5" w:rsidRPr="00924AFF" w:rsidRDefault="00F42DC0" w:rsidP="00A13C55">
    <w:pPr>
      <w:pStyle w:val="Nagwek"/>
      <w:ind w:left="-284"/>
      <w:jc w:val="center"/>
      <w:rPr>
        <w:rFonts w:ascii="Arial" w:hAnsi="Arial" w:cs="Arial"/>
        <w:color w:val="4D4D4D"/>
        <w:sz w:val="24"/>
        <w:szCs w:val="24"/>
      </w:rPr>
    </w:pPr>
    <w:r>
      <w:rPr>
        <w:rFonts w:ascii="Arial" w:hAnsi="Arial" w:cs="Arial"/>
        <w:i/>
        <w:iCs/>
        <w:color w:val="4D4D4D"/>
        <w:sz w:val="24"/>
        <w:szCs w:val="24"/>
      </w:rPr>
      <w:t>Zakł</w:t>
    </w:r>
    <w:r w:rsidR="00D275A5">
      <w:rPr>
        <w:rFonts w:ascii="Arial" w:hAnsi="Arial" w:cs="Arial"/>
        <w:i/>
        <w:iCs/>
        <w:color w:val="4D4D4D"/>
        <w:sz w:val="24"/>
        <w:szCs w:val="24"/>
      </w:rPr>
      <w:t>ad Analizy Śladowej</w:t>
    </w:r>
    <w:r w:rsidR="00B56E65" w:rsidRPr="00924AFF">
      <w:rPr>
        <w:rFonts w:ascii="Arial" w:hAnsi="Arial" w:cs="Arial"/>
        <w:color w:val="4D4D4D"/>
        <w:sz w:val="24"/>
        <w:szCs w:val="24"/>
      </w:rPr>
      <w:t>, Wydział Chemii, UAM</w:t>
    </w:r>
  </w:p>
  <w:p w:rsidR="00B56E65" w:rsidRPr="00A13C55" w:rsidRDefault="00B56E65" w:rsidP="00A13C55">
    <w:pPr>
      <w:pStyle w:val="Tekstpodstawowy"/>
      <w:pBdr>
        <w:bottom w:val="single" w:sz="4" w:space="1" w:color="auto"/>
      </w:pBdr>
      <w:ind w:left="-284"/>
      <w:jc w:val="center"/>
      <w:rPr>
        <w:rFonts w:ascii="Arial" w:hAnsi="Arial" w:cs="Arial"/>
        <w:i/>
        <w:iCs/>
        <w:color w:val="4D4D4D"/>
      </w:rPr>
    </w:pPr>
    <w:r w:rsidRPr="00A13C55">
      <w:rPr>
        <w:rFonts w:ascii="Arial" w:hAnsi="Arial" w:cs="Arial"/>
      </w:rPr>
      <w:t xml:space="preserve">Ćwiczenia laboratoryjne: </w:t>
    </w:r>
    <w:r w:rsidR="008609A3">
      <w:rPr>
        <w:rFonts w:ascii="Arial" w:hAnsi="Arial" w:cs="Arial"/>
        <w:i/>
        <w:iCs/>
      </w:rPr>
      <w:t>Metrologia w produktach spożywczych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List 1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cs="Wingdings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065550"/>
    <w:multiLevelType w:val="hybridMultilevel"/>
    <w:tmpl w:val="C486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C8A"/>
    <w:multiLevelType w:val="singleLevel"/>
    <w:tmpl w:val="0E52CA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E371166"/>
    <w:multiLevelType w:val="hybridMultilevel"/>
    <w:tmpl w:val="0846E4D2"/>
    <w:lvl w:ilvl="0" w:tplc="58A08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70570"/>
    <w:multiLevelType w:val="hybridMultilevel"/>
    <w:tmpl w:val="37F29DDC"/>
    <w:lvl w:ilvl="0" w:tplc="509CBF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03EA5"/>
    <w:multiLevelType w:val="singleLevel"/>
    <w:tmpl w:val="1340C6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>
    <w:nsid w:val="41023DE9"/>
    <w:multiLevelType w:val="hybridMultilevel"/>
    <w:tmpl w:val="C486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5052"/>
    <w:multiLevelType w:val="hybridMultilevel"/>
    <w:tmpl w:val="C486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6D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34018A"/>
    <w:multiLevelType w:val="hybridMultilevel"/>
    <w:tmpl w:val="7A7C5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A0FEC"/>
    <w:multiLevelType w:val="hybridMultilevel"/>
    <w:tmpl w:val="73E0FACE"/>
    <w:lvl w:ilvl="0" w:tplc="BA780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34894"/>
    <w:multiLevelType w:val="singleLevel"/>
    <w:tmpl w:val="1340C6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FA5BEA"/>
    <w:rsid w:val="00000BAE"/>
    <w:rsid w:val="000018C7"/>
    <w:rsid w:val="00003FD0"/>
    <w:rsid w:val="00006609"/>
    <w:rsid w:val="000518FD"/>
    <w:rsid w:val="00070FD3"/>
    <w:rsid w:val="00071BAC"/>
    <w:rsid w:val="0007683F"/>
    <w:rsid w:val="00081579"/>
    <w:rsid w:val="00093A9E"/>
    <w:rsid w:val="000A0637"/>
    <w:rsid w:val="000A32C5"/>
    <w:rsid w:val="000A7FD4"/>
    <w:rsid w:val="000B6B0C"/>
    <w:rsid w:val="000C2477"/>
    <w:rsid w:val="000D62D1"/>
    <w:rsid w:val="000E68EA"/>
    <w:rsid w:val="000F1259"/>
    <w:rsid w:val="00106DB2"/>
    <w:rsid w:val="00110398"/>
    <w:rsid w:val="00117E45"/>
    <w:rsid w:val="00131554"/>
    <w:rsid w:val="00136896"/>
    <w:rsid w:val="00142A7B"/>
    <w:rsid w:val="0015076D"/>
    <w:rsid w:val="00151DD1"/>
    <w:rsid w:val="00162FAD"/>
    <w:rsid w:val="00175790"/>
    <w:rsid w:val="00176F35"/>
    <w:rsid w:val="00195B18"/>
    <w:rsid w:val="001A3392"/>
    <w:rsid w:val="001C217F"/>
    <w:rsid w:val="001D0616"/>
    <w:rsid w:val="001E0938"/>
    <w:rsid w:val="001F1D30"/>
    <w:rsid w:val="0020692F"/>
    <w:rsid w:val="002151AA"/>
    <w:rsid w:val="00230534"/>
    <w:rsid w:val="002444D4"/>
    <w:rsid w:val="00257FD0"/>
    <w:rsid w:val="00271843"/>
    <w:rsid w:val="002752B4"/>
    <w:rsid w:val="00294F4E"/>
    <w:rsid w:val="00295792"/>
    <w:rsid w:val="002B714C"/>
    <w:rsid w:val="002D4FF2"/>
    <w:rsid w:val="003001B5"/>
    <w:rsid w:val="0030181B"/>
    <w:rsid w:val="00310251"/>
    <w:rsid w:val="00326DD8"/>
    <w:rsid w:val="0034179F"/>
    <w:rsid w:val="003417AD"/>
    <w:rsid w:val="00350ED6"/>
    <w:rsid w:val="003643F3"/>
    <w:rsid w:val="00377612"/>
    <w:rsid w:val="0038119C"/>
    <w:rsid w:val="003B57A5"/>
    <w:rsid w:val="003D54DB"/>
    <w:rsid w:val="003D6BBB"/>
    <w:rsid w:val="003D6F76"/>
    <w:rsid w:val="004153B2"/>
    <w:rsid w:val="00420EC0"/>
    <w:rsid w:val="004577F2"/>
    <w:rsid w:val="0048326C"/>
    <w:rsid w:val="004B2F67"/>
    <w:rsid w:val="004B48B1"/>
    <w:rsid w:val="004D3294"/>
    <w:rsid w:val="004D60A2"/>
    <w:rsid w:val="00504272"/>
    <w:rsid w:val="0050576E"/>
    <w:rsid w:val="005067C4"/>
    <w:rsid w:val="005203EA"/>
    <w:rsid w:val="00525A6A"/>
    <w:rsid w:val="00540587"/>
    <w:rsid w:val="00540EC1"/>
    <w:rsid w:val="00555414"/>
    <w:rsid w:val="0057118C"/>
    <w:rsid w:val="0057700F"/>
    <w:rsid w:val="00595165"/>
    <w:rsid w:val="005A014F"/>
    <w:rsid w:val="005A027D"/>
    <w:rsid w:val="005B150E"/>
    <w:rsid w:val="005B35D8"/>
    <w:rsid w:val="005D503E"/>
    <w:rsid w:val="005F49FD"/>
    <w:rsid w:val="0060530E"/>
    <w:rsid w:val="00613084"/>
    <w:rsid w:val="006161A4"/>
    <w:rsid w:val="00622089"/>
    <w:rsid w:val="00641A1C"/>
    <w:rsid w:val="0065085E"/>
    <w:rsid w:val="0067446C"/>
    <w:rsid w:val="00690ABE"/>
    <w:rsid w:val="006A27E6"/>
    <w:rsid w:val="006B7565"/>
    <w:rsid w:val="006D2F71"/>
    <w:rsid w:val="006F1139"/>
    <w:rsid w:val="006F1DD7"/>
    <w:rsid w:val="006F22E5"/>
    <w:rsid w:val="006F4A8A"/>
    <w:rsid w:val="00707589"/>
    <w:rsid w:val="00726770"/>
    <w:rsid w:val="00734023"/>
    <w:rsid w:val="00765465"/>
    <w:rsid w:val="00765E07"/>
    <w:rsid w:val="00771547"/>
    <w:rsid w:val="007B06C1"/>
    <w:rsid w:val="007C2B4B"/>
    <w:rsid w:val="007D7283"/>
    <w:rsid w:val="007E0864"/>
    <w:rsid w:val="007E4C03"/>
    <w:rsid w:val="007E796B"/>
    <w:rsid w:val="007F1371"/>
    <w:rsid w:val="008159B6"/>
    <w:rsid w:val="00830442"/>
    <w:rsid w:val="00841360"/>
    <w:rsid w:val="00853784"/>
    <w:rsid w:val="00857CD0"/>
    <w:rsid w:val="008609A3"/>
    <w:rsid w:val="008811B1"/>
    <w:rsid w:val="0088608A"/>
    <w:rsid w:val="008C0D40"/>
    <w:rsid w:val="008C1C77"/>
    <w:rsid w:val="008D1EC8"/>
    <w:rsid w:val="009011F6"/>
    <w:rsid w:val="009062AF"/>
    <w:rsid w:val="00910BD1"/>
    <w:rsid w:val="009318E3"/>
    <w:rsid w:val="009320D1"/>
    <w:rsid w:val="00941BB4"/>
    <w:rsid w:val="009459E7"/>
    <w:rsid w:val="00962C42"/>
    <w:rsid w:val="009A2C66"/>
    <w:rsid w:val="009A571A"/>
    <w:rsid w:val="009C50D1"/>
    <w:rsid w:val="009D28CC"/>
    <w:rsid w:val="009F3214"/>
    <w:rsid w:val="009F33D9"/>
    <w:rsid w:val="00A00399"/>
    <w:rsid w:val="00A13C55"/>
    <w:rsid w:val="00A2426A"/>
    <w:rsid w:val="00A35B48"/>
    <w:rsid w:val="00A40D9D"/>
    <w:rsid w:val="00A71B2E"/>
    <w:rsid w:val="00A74924"/>
    <w:rsid w:val="00AA7CED"/>
    <w:rsid w:val="00AB255B"/>
    <w:rsid w:val="00AD0334"/>
    <w:rsid w:val="00AD63A2"/>
    <w:rsid w:val="00AE7E1E"/>
    <w:rsid w:val="00B012E6"/>
    <w:rsid w:val="00B0504F"/>
    <w:rsid w:val="00B06009"/>
    <w:rsid w:val="00B06CE2"/>
    <w:rsid w:val="00B07B2B"/>
    <w:rsid w:val="00B11C6A"/>
    <w:rsid w:val="00B15AC0"/>
    <w:rsid w:val="00B51330"/>
    <w:rsid w:val="00B56E65"/>
    <w:rsid w:val="00B81150"/>
    <w:rsid w:val="00B819A6"/>
    <w:rsid w:val="00B91F01"/>
    <w:rsid w:val="00B94A56"/>
    <w:rsid w:val="00BC6F7A"/>
    <w:rsid w:val="00BD06D6"/>
    <w:rsid w:val="00BD1A16"/>
    <w:rsid w:val="00BD7AE0"/>
    <w:rsid w:val="00C32070"/>
    <w:rsid w:val="00C40334"/>
    <w:rsid w:val="00C5657B"/>
    <w:rsid w:val="00C76D5E"/>
    <w:rsid w:val="00C90584"/>
    <w:rsid w:val="00C933EB"/>
    <w:rsid w:val="00C97115"/>
    <w:rsid w:val="00CA67AA"/>
    <w:rsid w:val="00CA6B6A"/>
    <w:rsid w:val="00CC1537"/>
    <w:rsid w:val="00CC1F8E"/>
    <w:rsid w:val="00CD2481"/>
    <w:rsid w:val="00CD78B0"/>
    <w:rsid w:val="00CD7F30"/>
    <w:rsid w:val="00CE4E10"/>
    <w:rsid w:val="00CE7660"/>
    <w:rsid w:val="00CF6B0C"/>
    <w:rsid w:val="00D07B13"/>
    <w:rsid w:val="00D21C77"/>
    <w:rsid w:val="00D275A5"/>
    <w:rsid w:val="00D3596A"/>
    <w:rsid w:val="00D47A3F"/>
    <w:rsid w:val="00D65162"/>
    <w:rsid w:val="00D9074C"/>
    <w:rsid w:val="00D95217"/>
    <w:rsid w:val="00DC3B43"/>
    <w:rsid w:val="00DC5C57"/>
    <w:rsid w:val="00DE03A0"/>
    <w:rsid w:val="00DE365F"/>
    <w:rsid w:val="00DF198B"/>
    <w:rsid w:val="00E00E5F"/>
    <w:rsid w:val="00E6331D"/>
    <w:rsid w:val="00E73115"/>
    <w:rsid w:val="00E740B4"/>
    <w:rsid w:val="00E857AE"/>
    <w:rsid w:val="00E91399"/>
    <w:rsid w:val="00EA095F"/>
    <w:rsid w:val="00EC0427"/>
    <w:rsid w:val="00EE4850"/>
    <w:rsid w:val="00F016A3"/>
    <w:rsid w:val="00F24E52"/>
    <w:rsid w:val="00F257F4"/>
    <w:rsid w:val="00F25FD9"/>
    <w:rsid w:val="00F42DC0"/>
    <w:rsid w:val="00F449D2"/>
    <w:rsid w:val="00F544A3"/>
    <w:rsid w:val="00F856FC"/>
    <w:rsid w:val="00FA5BEA"/>
    <w:rsid w:val="00FC0792"/>
    <w:rsid w:val="00FD01A4"/>
    <w:rsid w:val="00FF3CFE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" w:hAnsi="Times" w:cs="Times"/>
      <w:sz w:val="24"/>
      <w:szCs w:val="24"/>
      <w:lang/>
    </w:rPr>
  </w:style>
  <w:style w:type="paragraph" w:styleId="Nagwek9">
    <w:name w:val="heading 9"/>
    <w:basedOn w:val="Nagwek"/>
    <w:next w:val="Tekstpodstawowy"/>
    <w:qFormat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Times New Roman" w:hAnsi="StarSymbol" w:cs="StarSymbol"/>
      <w:sz w:val="14"/>
      <w:szCs w:val="14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Akapit1"/>
    <w:qFormat/>
    <w:pPr>
      <w:suppressLineNumbers/>
      <w:spacing w:after="340"/>
      <w:ind w:left="-227"/>
      <w:jc w:val="both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PreformattedText">
    <w:name w:val="Preformatted Text"/>
    <w:basedOn w:val="Normalny"/>
    <w:rPr>
      <w:rFonts w:ascii="Courier New" w:hAnsi="Courier New" w:cs="Courier New"/>
      <w:sz w:val="20"/>
      <w:szCs w:val="20"/>
    </w:rPr>
  </w:style>
  <w:style w:type="paragraph" w:customStyle="1" w:styleId="Akapit1">
    <w:name w:val="Akapit 1"/>
    <w:next w:val="Akapit2"/>
    <w:pPr>
      <w:suppressLineNumbers/>
      <w:jc w:val="both"/>
    </w:pPr>
    <w:rPr>
      <w:sz w:val="24"/>
      <w:szCs w:val="24"/>
      <w:lang/>
    </w:rPr>
  </w:style>
  <w:style w:type="paragraph" w:customStyle="1" w:styleId="rdtytu">
    <w:name w:val="Śródtytuł"/>
    <w:next w:val="Akapit1"/>
    <w:pPr>
      <w:widowControl w:val="0"/>
      <w:suppressLineNumbers/>
      <w:pBdr>
        <w:bottom w:val="single" w:sz="4" w:space="1" w:color="000000"/>
      </w:pBdr>
      <w:suppressAutoHyphens/>
      <w:spacing w:before="340" w:after="57"/>
      <w:ind w:left="-227"/>
    </w:pPr>
    <w:rPr>
      <w:rFonts w:ascii="Arial" w:hAnsi="Arial" w:cs="Arial"/>
      <w:b/>
      <w:bCs/>
      <w:sz w:val="24"/>
      <w:szCs w:val="24"/>
      <w:lang/>
    </w:rPr>
  </w:style>
  <w:style w:type="paragraph" w:customStyle="1" w:styleId="Akapit2">
    <w:name w:val="Akapit 2"/>
    <w:basedOn w:val="Akapit1"/>
    <w:pPr>
      <w:spacing w:before="113"/>
    </w:pPr>
  </w:style>
  <w:style w:type="paragraph" w:customStyle="1" w:styleId="rdtytu2">
    <w:name w:val="Śródtytuł2"/>
    <w:basedOn w:val="rdtytu"/>
    <w:next w:val="Akapit1"/>
    <w:pPr>
      <w:pBdr>
        <w:bottom w:val="none" w:sz="0" w:space="0" w:color="auto"/>
      </w:pBdr>
      <w:spacing w:before="113" w:after="0"/>
    </w:pPr>
    <w:rPr>
      <w:sz w:val="21"/>
      <w:szCs w:val="21"/>
    </w:rPr>
  </w:style>
  <w:style w:type="paragraph" w:customStyle="1" w:styleId="Punkt">
    <w:name w:val="Punkt"/>
    <w:pPr>
      <w:numPr>
        <w:numId w:val="1"/>
      </w:numPr>
      <w:spacing w:before="28" w:after="85"/>
    </w:pPr>
    <w:rPr>
      <w:sz w:val="24"/>
      <w:szCs w:val="24"/>
      <w:lang/>
    </w:rPr>
  </w:style>
  <w:style w:type="paragraph" w:customStyle="1" w:styleId="Podpisrysunku">
    <w:name w:val="Podpis rysunku"/>
    <w:basedOn w:val="Akapit2"/>
    <w:next w:val="Podpisrysunku2"/>
    <w:pPr>
      <w:spacing w:before="454"/>
    </w:pPr>
    <w:rPr>
      <w:sz w:val="20"/>
      <w:szCs w:val="20"/>
    </w:rPr>
  </w:style>
  <w:style w:type="paragraph" w:customStyle="1" w:styleId="Podpisrysunku2">
    <w:name w:val="Podpis rysunku2"/>
    <w:basedOn w:val="Podpisrysunku"/>
    <w:pPr>
      <w:spacing w:before="0"/>
    </w:pPr>
  </w:style>
  <w:style w:type="paragraph" w:customStyle="1" w:styleId="wiczenie">
    <w:name w:val="Ćwiczenie"/>
    <w:basedOn w:val="rdtytu2"/>
    <w:next w:val="Tytu"/>
    <w:pPr>
      <w:spacing w:before="340"/>
    </w:pPr>
  </w:style>
  <w:style w:type="table" w:styleId="Tabela-Siatka">
    <w:name w:val="Table Grid"/>
    <w:basedOn w:val="Standardowy"/>
    <w:rsid w:val="00BD1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C97115"/>
    <w:rPr>
      <w:sz w:val="16"/>
      <w:szCs w:val="16"/>
    </w:rPr>
  </w:style>
  <w:style w:type="paragraph" w:styleId="Tekstkomentarza">
    <w:name w:val="annotation text"/>
    <w:basedOn w:val="Normalny"/>
    <w:semiHidden/>
    <w:rsid w:val="00C97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97115"/>
    <w:rPr>
      <w:b/>
      <w:bCs/>
    </w:rPr>
  </w:style>
  <w:style w:type="paragraph" w:styleId="Tekstdymka">
    <w:name w:val="Balloon Text"/>
    <w:basedOn w:val="Normalny"/>
    <w:semiHidden/>
    <w:rsid w:val="00C97115"/>
    <w:rPr>
      <w:rFonts w:ascii="Tahoma" w:hAnsi="Tahoma" w:cs="Tahoma"/>
      <w:sz w:val="16"/>
      <w:szCs w:val="16"/>
    </w:rPr>
  </w:style>
  <w:style w:type="character" w:styleId="Hipercze">
    <w:name w:val="Hyperlink"/>
    <w:rsid w:val="0065085E"/>
    <w:rPr>
      <w:color w:val="0000FF"/>
      <w:u w:val="single"/>
    </w:rPr>
  </w:style>
  <w:style w:type="paragraph" w:styleId="Stopka">
    <w:name w:val="footer"/>
    <w:basedOn w:val="Normalny"/>
    <w:rsid w:val="00A13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1843"/>
  </w:style>
  <w:style w:type="paragraph" w:styleId="Akapitzlist">
    <w:name w:val="List Paragraph"/>
    <w:basedOn w:val="Normalny"/>
    <w:uiPriority w:val="34"/>
    <w:qFormat/>
    <w:rsid w:val="005770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8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Interferencje jonizacyjne przy oznaczaniu sodu i potasu. Interferencje chemiczne przy oznaczaniu chromu.</vt:lpstr>
    </vt:vector>
  </TitlesOfParts>
  <Company>UAM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Interferencje jonizacyjne przy oznaczaniu sodu i potasu. Interferencje chemiczne przy oznaczaniu chromu.</dc:title>
  <dc:creator>Danuta Barałkiewicz</dc:creator>
  <cp:keywords>sód, potas, chrom, AAS, interferencje</cp:keywords>
  <cp:lastModifiedBy>izka</cp:lastModifiedBy>
  <cp:revision>2</cp:revision>
  <cp:lastPrinted>2009-10-12T08:26:00Z</cp:lastPrinted>
  <dcterms:created xsi:type="dcterms:W3CDTF">2022-05-17T10:11:00Z</dcterms:created>
  <dcterms:modified xsi:type="dcterms:W3CDTF">2022-05-17T10:11:00Z</dcterms:modified>
</cp:coreProperties>
</file>